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1C6F" w:rsidRDefault="00451C6F">
      <w:bookmarkStart w:id="0" w:name="_GoBack"/>
      <w:bookmarkEnd w:id="0"/>
    </w:p>
    <w:p w:rsidR="00F0647B" w:rsidRDefault="00A7370D">
      <w:r>
        <w:t xml:space="preserve">Praxis II Summary Pass Rates: 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2782"/>
        <w:gridCol w:w="1126"/>
        <w:gridCol w:w="1126"/>
        <w:gridCol w:w="1110"/>
        <w:gridCol w:w="1126"/>
        <w:gridCol w:w="1126"/>
        <w:gridCol w:w="954"/>
      </w:tblGrid>
      <w:tr w:rsidR="00A7370D" w:rsidRPr="00A7370D" w:rsidTr="00A7370D">
        <w:trPr>
          <w:trHeight w:val="840"/>
        </w:trPr>
        <w:tc>
          <w:tcPr>
            <w:tcW w:w="3422" w:type="dxa"/>
            <w:noWrap/>
            <w:hideMark/>
          </w:tcPr>
          <w:p w:rsidR="00A7370D" w:rsidRPr="00A7370D" w:rsidRDefault="00A7370D" w:rsidP="00A7370D">
            <w:pPr>
              <w:rPr>
                <w:b/>
                <w:bCs/>
                <w:i/>
                <w:iCs/>
              </w:rPr>
            </w:pPr>
            <w:r w:rsidRPr="00A7370D">
              <w:rPr>
                <w:b/>
                <w:bCs/>
                <w:i/>
                <w:iCs/>
              </w:rPr>
              <w:t>Group</w:t>
            </w:r>
          </w:p>
        </w:tc>
        <w:tc>
          <w:tcPr>
            <w:tcW w:w="988" w:type="dxa"/>
            <w:hideMark/>
          </w:tcPr>
          <w:p w:rsidR="00A7370D" w:rsidRPr="00A7370D" w:rsidRDefault="00A7370D" w:rsidP="00A7370D">
            <w:pPr>
              <w:rPr>
                <w:b/>
                <w:bCs/>
                <w:i/>
                <w:iCs/>
              </w:rPr>
            </w:pPr>
            <w:r w:rsidRPr="00A7370D">
              <w:rPr>
                <w:b/>
                <w:bCs/>
                <w:i/>
                <w:iCs/>
              </w:rPr>
              <w:t xml:space="preserve">Number </w:t>
            </w:r>
            <w:r w:rsidRPr="00A7370D">
              <w:rPr>
                <w:b/>
                <w:bCs/>
                <w:i/>
                <w:iCs/>
              </w:rPr>
              <w:br/>
              <w:t xml:space="preserve">Taking </w:t>
            </w:r>
            <w:r w:rsidRPr="00A7370D">
              <w:rPr>
                <w:b/>
                <w:bCs/>
                <w:i/>
                <w:iCs/>
              </w:rPr>
              <w:br/>
              <w:t>Assessment</w:t>
            </w:r>
            <w:r w:rsidRPr="00A7370D">
              <w:rPr>
                <w:b/>
                <w:bCs/>
                <w:i/>
                <w:iCs/>
                <w:vertAlign w:val="superscript"/>
              </w:rPr>
              <w:t>1</w:t>
            </w:r>
          </w:p>
        </w:tc>
        <w:tc>
          <w:tcPr>
            <w:tcW w:w="988" w:type="dxa"/>
            <w:hideMark/>
          </w:tcPr>
          <w:p w:rsidR="00A7370D" w:rsidRPr="00A7370D" w:rsidRDefault="00A7370D" w:rsidP="00A7370D">
            <w:pPr>
              <w:rPr>
                <w:b/>
                <w:bCs/>
                <w:i/>
                <w:iCs/>
              </w:rPr>
            </w:pPr>
            <w:r w:rsidRPr="00A7370D">
              <w:rPr>
                <w:b/>
                <w:bCs/>
                <w:i/>
                <w:iCs/>
              </w:rPr>
              <w:t>Number</w:t>
            </w:r>
            <w:r w:rsidRPr="00A7370D">
              <w:rPr>
                <w:b/>
                <w:bCs/>
                <w:i/>
                <w:iCs/>
              </w:rPr>
              <w:br/>
              <w:t>Passing</w:t>
            </w:r>
            <w:r w:rsidRPr="00A7370D">
              <w:rPr>
                <w:b/>
                <w:bCs/>
                <w:i/>
                <w:iCs/>
              </w:rPr>
              <w:br/>
              <w:t>Assessment</w:t>
            </w:r>
            <w:r w:rsidRPr="00A7370D">
              <w:rPr>
                <w:b/>
                <w:bCs/>
                <w:i/>
                <w:iCs/>
                <w:vertAlign w:val="superscript"/>
              </w:rPr>
              <w:t>2</w:t>
            </w:r>
          </w:p>
        </w:tc>
        <w:tc>
          <w:tcPr>
            <w:tcW w:w="988" w:type="dxa"/>
            <w:hideMark/>
          </w:tcPr>
          <w:p w:rsidR="00A7370D" w:rsidRPr="00A7370D" w:rsidRDefault="00A7370D" w:rsidP="00A7370D">
            <w:pPr>
              <w:rPr>
                <w:b/>
                <w:bCs/>
                <w:i/>
                <w:iCs/>
              </w:rPr>
            </w:pPr>
            <w:r w:rsidRPr="00A7370D">
              <w:rPr>
                <w:b/>
                <w:bCs/>
                <w:i/>
                <w:iCs/>
              </w:rPr>
              <w:t>Institutional</w:t>
            </w:r>
            <w:r w:rsidRPr="00A7370D">
              <w:rPr>
                <w:b/>
                <w:bCs/>
                <w:i/>
                <w:iCs/>
              </w:rPr>
              <w:br/>
              <w:t>Pass Rate</w:t>
            </w:r>
          </w:p>
        </w:tc>
        <w:tc>
          <w:tcPr>
            <w:tcW w:w="988" w:type="dxa"/>
            <w:hideMark/>
          </w:tcPr>
          <w:p w:rsidR="00A7370D" w:rsidRPr="00A7370D" w:rsidRDefault="00A7370D" w:rsidP="00A7370D">
            <w:pPr>
              <w:rPr>
                <w:b/>
                <w:bCs/>
                <w:i/>
                <w:iCs/>
              </w:rPr>
            </w:pPr>
            <w:r w:rsidRPr="00A7370D">
              <w:rPr>
                <w:b/>
                <w:bCs/>
                <w:i/>
                <w:iCs/>
              </w:rPr>
              <w:t xml:space="preserve">Number </w:t>
            </w:r>
            <w:r w:rsidRPr="00A7370D">
              <w:rPr>
                <w:b/>
                <w:bCs/>
                <w:i/>
                <w:iCs/>
              </w:rPr>
              <w:br/>
              <w:t xml:space="preserve">Taking </w:t>
            </w:r>
            <w:r w:rsidRPr="00A7370D">
              <w:rPr>
                <w:b/>
                <w:bCs/>
                <w:i/>
                <w:iCs/>
              </w:rPr>
              <w:br/>
              <w:t>Assessment</w:t>
            </w:r>
            <w:r w:rsidRPr="00A7370D">
              <w:rPr>
                <w:b/>
                <w:bCs/>
                <w:i/>
                <w:iCs/>
                <w:vertAlign w:val="superscript"/>
              </w:rPr>
              <w:t>1</w:t>
            </w:r>
          </w:p>
        </w:tc>
        <w:tc>
          <w:tcPr>
            <w:tcW w:w="988" w:type="dxa"/>
            <w:hideMark/>
          </w:tcPr>
          <w:p w:rsidR="00A7370D" w:rsidRPr="00A7370D" w:rsidRDefault="00A7370D" w:rsidP="00A7370D">
            <w:pPr>
              <w:rPr>
                <w:b/>
                <w:bCs/>
                <w:i/>
                <w:iCs/>
              </w:rPr>
            </w:pPr>
            <w:r w:rsidRPr="00A7370D">
              <w:rPr>
                <w:b/>
                <w:bCs/>
                <w:i/>
                <w:iCs/>
              </w:rPr>
              <w:t>Number</w:t>
            </w:r>
            <w:r w:rsidRPr="00A7370D">
              <w:rPr>
                <w:b/>
                <w:bCs/>
                <w:i/>
                <w:iCs/>
              </w:rPr>
              <w:br/>
              <w:t>Passing</w:t>
            </w:r>
            <w:r w:rsidRPr="00A7370D">
              <w:rPr>
                <w:b/>
                <w:bCs/>
                <w:i/>
                <w:iCs/>
              </w:rPr>
              <w:br/>
              <w:t>Assessment</w:t>
            </w:r>
            <w:r w:rsidRPr="00A7370D">
              <w:rPr>
                <w:b/>
                <w:bCs/>
                <w:i/>
                <w:iCs/>
                <w:vertAlign w:val="superscript"/>
              </w:rPr>
              <w:t>2</w:t>
            </w:r>
          </w:p>
        </w:tc>
        <w:tc>
          <w:tcPr>
            <w:tcW w:w="988" w:type="dxa"/>
            <w:hideMark/>
          </w:tcPr>
          <w:p w:rsidR="00A7370D" w:rsidRPr="00A7370D" w:rsidRDefault="00A7370D" w:rsidP="00A7370D">
            <w:pPr>
              <w:rPr>
                <w:b/>
                <w:bCs/>
                <w:i/>
                <w:iCs/>
              </w:rPr>
            </w:pPr>
            <w:r w:rsidRPr="00A7370D">
              <w:rPr>
                <w:b/>
                <w:bCs/>
                <w:i/>
                <w:iCs/>
              </w:rPr>
              <w:t xml:space="preserve">Statewide </w:t>
            </w:r>
            <w:r w:rsidRPr="00A7370D">
              <w:rPr>
                <w:b/>
                <w:bCs/>
                <w:i/>
                <w:iCs/>
              </w:rPr>
              <w:br/>
              <w:t>Pass Rate</w:t>
            </w:r>
          </w:p>
        </w:tc>
      </w:tr>
      <w:tr w:rsidR="00A7370D" w:rsidRPr="00A7370D" w:rsidTr="00A7370D">
        <w:trPr>
          <w:trHeight w:val="720"/>
        </w:trPr>
        <w:tc>
          <w:tcPr>
            <w:tcW w:w="3422" w:type="dxa"/>
            <w:hideMark/>
          </w:tcPr>
          <w:p w:rsidR="00A7370D" w:rsidRPr="00A7370D" w:rsidRDefault="00A7370D" w:rsidP="00A7370D">
            <w:r w:rsidRPr="00A7370D">
              <w:t>All program completers, 2021-22</w:t>
            </w:r>
          </w:p>
        </w:tc>
        <w:tc>
          <w:tcPr>
            <w:tcW w:w="988" w:type="dxa"/>
            <w:noWrap/>
            <w:hideMark/>
          </w:tcPr>
          <w:p w:rsidR="00A7370D" w:rsidRPr="00A7370D" w:rsidRDefault="00A7370D" w:rsidP="00A7370D">
            <w:r w:rsidRPr="00A7370D">
              <w:t xml:space="preserve">   70</w:t>
            </w:r>
          </w:p>
        </w:tc>
        <w:tc>
          <w:tcPr>
            <w:tcW w:w="988" w:type="dxa"/>
            <w:noWrap/>
            <w:hideMark/>
          </w:tcPr>
          <w:p w:rsidR="00A7370D" w:rsidRPr="00A7370D" w:rsidRDefault="00A7370D" w:rsidP="00A7370D">
            <w:r w:rsidRPr="00A7370D">
              <w:t xml:space="preserve">   68</w:t>
            </w:r>
          </w:p>
        </w:tc>
        <w:tc>
          <w:tcPr>
            <w:tcW w:w="988" w:type="dxa"/>
            <w:noWrap/>
            <w:hideMark/>
          </w:tcPr>
          <w:p w:rsidR="00A7370D" w:rsidRPr="00A7370D" w:rsidRDefault="00A7370D" w:rsidP="00A7370D">
            <w:r w:rsidRPr="00A7370D">
              <w:t>97%</w:t>
            </w:r>
          </w:p>
        </w:tc>
        <w:tc>
          <w:tcPr>
            <w:tcW w:w="988" w:type="dxa"/>
            <w:noWrap/>
            <w:hideMark/>
          </w:tcPr>
          <w:p w:rsidR="00A7370D" w:rsidRPr="00A7370D" w:rsidRDefault="00A7370D" w:rsidP="00A7370D">
            <w:r w:rsidRPr="00A7370D">
              <w:t xml:space="preserve"> 1536</w:t>
            </w:r>
          </w:p>
        </w:tc>
        <w:tc>
          <w:tcPr>
            <w:tcW w:w="988" w:type="dxa"/>
            <w:noWrap/>
            <w:hideMark/>
          </w:tcPr>
          <w:p w:rsidR="00A7370D" w:rsidRPr="00A7370D" w:rsidRDefault="00A7370D" w:rsidP="00A7370D">
            <w:r w:rsidRPr="00A7370D">
              <w:t xml:space="preserve"> 1187</w:t>
            </w:r>
          </w:p>
        </w:tc>
        <w:tc>
          <w:tcPr>
            <w:tcW w:w="988" w:type="dxa"/>
            <w:noWrap/>
            <w:hideMark/>
          </w:tcPr>
          <w:p w:rsidR="00A7370D" w:rsidRPr="00A7370D" w:rsidRDefault="00A7370D" w:rsidP="00A7370D">
            <w:r w:rsidRPr="00A7370D">
              <w:t>77%</w:t>
            </w:r>
          </w:p>
        </w:tc>
      </w:tr>
      <w:tr w:rsidR="00A7370D" w:rsidRPr="00A7370D" w:rsidTr="00A7370D">
        <w:trPr>
          <w:trHeight w:val="720"/>
        </w:trPr>
        <w:tc>
          <w:tcPr>
            <w:tcW w:w="3422" w:type="dxa"/>
            <w:hideMark/>
          </w:tcPr>
          <w:p w:rsidR="00A7370D" w:rsidRPr="00A7370D" w:rsidRDefault="00A7370D" w:rsidP="00A7370D">
            <w:r w:rsidRPr="00A7370D">
              <w:t>All program completers, 2020-21</w:t>
            </w:r>
          </w:p>
        </w:tc>
        <w:tc>
          <w:tcPr>
            <w:tcW w:w="988" w:type="dxa"/>
            <w:noWrap/>
            <w:hideMark/>
          </w:tcPr>
          <w:p w:rsidR="00A7370D" w:rsidRPr="00A7370D" w:rsidRDefault="00A7370D" w:rsidP="00A7370D">
            <w:r w:rsidRPr="00A7370D">
              <w:t xml:space="preserve">  109</w:t>
            </w:r>
          </w:p>
        </w:tc>
        <w:tc>
          <w:tcPr>
            <w:tcW w:w="988" w:type="dxa"/>
            <w:noWrap/>
            <w:hideMark/>
          </w:tcPr>
          <w:p w:rsidR="00A7370D" w:rsidRPr="00A7370D" w:rsidRDefault="00A7370D" w:rsidP="00A7370D">
            <w:r w:rsidRPr="00A7370D">
              <w:t xml:space="preserve">   98</w:t>
            </w:r>
          </w:p>
        </w:tc>
        <w:tc>
          <w:tcPr>
            <w:tcW w:w="988" w:type="dxa"/>
            <w:noWrap/>
            <w:hideMark/>
          </w:tcPr>
          <w:p w:rsidR="00A7370D" w:rsidRPr="00A7370D" w:rsidRDefault="00A7370D" w:rsidP="00A7370D">
            <w:r w:rsidRPr="00A7370D">
              <w:t>90%</w:t>
            </w:r>
          </w:p>
        </w:tc>
        <w:tc>
          <w:tcPr>
            <w:tcW w:w="988" w:type="dxa"/>
            <w:noWrap/>
            <w:hideMark/>
          </w:tcPr>
          <w:p w:rsidR="00A7370D" w:rsidRPr="00A7370D" w:rsidRDefault="00A7370D" w:rsidP="00A7370D">
            <w:r w:rsidRPr="00A7370D">
              <w:t xml:space="preserve"> 1560</w:t>
            </w:r>
          </w:p>
        </w:tc>
        <w:tc>
          <w:tcPr>
            <w:tcW w:w="988" w:type="dxa"/>
            <w:noWrap/>
            <w:hideMark/>
          </w:tcPr>
          <w:p w:rsidR="00A7370D" w:rsidRPr="00A7370D" w:rsidRDefault="00A7370D" w:rsidP="00A7370D">
            <w:r w:rsidRPr="00A7370D">
              <w:t xml:space="preserve"> 1326</w:t>
            </w:r>
          </w:p>
        </w:tc>
        <w:tc>
          <w:tcPr>
            <w:tcW w:w="988" w:type="dxa"/>
            <w:noWrap/>
            <w:hideMark/>
          </w:tcPr>
          <w:p w:rsidR="00A7370D" w:rsidRPr="00A7370D" w:rsidRDefault="00A7370D" w:rsidP="00A7370D">
            <w:r w:rsidRPr="00A7370D">
              <w:t>85%</w:t>
            </w:r>
          </w:p>
        </w:tc>
      </w:tr>
      <w:tr w:rsidR="00A7370D" w:rsidRPr="00A7370D" w:rsidTr="00A7370D">
        <w:trPr>
          <w:trHeight w:val="720"/>
        </w:trPr>
        <w:tc>
          <w:tcPr>
            <w:tcW w:w="3422" w:type="dxa"/>
            <w:hideMark/>
          </w:tcPr>
          <w:p w:rsidR="00A7370D" w:rsidRPr="00A7370D" w:rsidRDefault="00A7370D" w:rsidP="00A7370D">
            <w:r w:rsidRPr="00A7370D">
              <w:t>All program completers, 2019-20</w:t>
            </w:r>
          </w:p>
        </w:tc>
        <w:tc>
          <w:tcPr>
            <w:tcW w:w="988" w:type="dxa"/>
            <w:noWrap/>
            <w:hideMark/>
          </w:tcPr>
          <w:p w:rsidR="00A7370D" w:rsidRPr="00A7370D" w:rsidRDefault="00A7370D" w:rsidP="00A7370D">
            <w:r w:rsidRPr="00A7370D">
              <w:t xml:space="preserve">   98</w:t>
            </w:r>
          </w:p>
        </w:tc>
        <w:tc>
          <w:tcPr>
            <w:tcW w:w="988" w:type="dxa"/>
            <w:noWrap/>
            <w:hideMark/>
          </w:tcPr>
          <w:p w:rsidR="00A7370D" w:rsidRPr="00A7370D" w:rsidRDefault="00A7370D" w:rsidP="00A7370D">
            <w:r w:rsidRPr="00A7370D">
              <w:t xml:space="preserve">   86</w:t>
            </w:r>
          </w:p>
        </w:tc>
        <w:tc>
          <w:tcPr>
            <w:tcW w:w="988" w:type="dxa"/>
            <w:noWrap/>
            <w:hideMark/>
          </w:tcPr>
          <w:p w:rsidR="00A7370D" w:rsidRPr="00A7370D" w:rsidRDefault="00A7370D" w:rsidP="00A7370D">
            <w:r w:rsidRPr="00A7370D">
              <w:t>88%</w:t>
            </w:r>
          </w:p>
        </w:tc>
        <w:tc>
          <w:tcPr>
            <w:tcW w:w="988" w:type="dxa"/>
            <w:noWrap/>
            <w:hideMark/>
          </w:tcPr>
          <w:p w:rsidR="00A7370D" w:rsidRPr="00A7370D" w:rsidRDefault="00A7370D" w:rsidP="00A7370D">
            <w:r w:rsidRPr="00A7370D">
              <w:t xml:space="preserve"> 1509</w:t>
            </w:r>
          </w:p>
        </w:tc>
        <w:tc>
          <w:tcPr>
            <w:tcW w:w="988" w:type="dxa"/>
            <w:noWrap/>
            <w:hideMark/>
          </w:tcPr>
          <w:p w:rsidR="00A7370D" w:rsidRPr="00A7370D" w:rsidRDefault="00A7370D" w:rsidP="00A7370D">
            <w:r w:rsidRPr="00A7370D">
              <w:t xml:space="preserve"> 1386</w:t>
            </w:r>
          </w:p>
        </w:tc>
        <w:tc>
          <w:tcPr>
            <w:tcW w:w="988" w:type="dxa"/>
            <w:noWrap/>
            <w:hideMark/>
          </w:tcPr>
          <w:p w:rsidR="00A7370D" w:rsidRPr="00A7370D" w:rsidRDefault="00A7370D" w:rsidP="00A7370D">
            <w:r w:rsidRPr="00A7370D">
              <w:t>92%</w:t>
            </w:r>
          </w:p>
        </w:tc>
      </w:tr>
    </w:tbl>
    <w:p w:rsidR="00A7370D" w:rsidRPr="00C00A80" w:rsidRDefault="00A7370D" w:rsidP="00A7370D">
      <w:pPr>
        <w:rPr>
          <w:sz w:val="14"/>
        </w:rPr>
      </w:pPr>
      <w:r w:rsidRPr="00C00A80">
        <w:rPr>
          <w:sz w:val="14"/>
        </w:rPr>
        <w:t>Note: In cases where there are less than ten students taking the assessment or license/certificate, the number passing and pass rate are not reported.</w:t>
      </w:r>
    </w:p>
    <w:p w:rsidR="00A7370D" w:rsidRPr="00C00A80" w:rsidRDefault="00A7370D" w:rsidP="00A7370D">
      <w:pPr>
        <w:pStyle w:val="ListParagraph"/>
        <w:numPr>
          <w:ilvl w:val="0"/>
          <w:numId w:val="1"/>
        </w:numPr>
        <w:rPr>
          <w:sz w:val="14"/>
        </w:rPr>
      </w:pPr>
      <w:r w:rsidRPr="00C00A80">
        <w:rPr>
          <w:sz w:val="14"/>
        </w:rPr>
        <w:t>Number of completers taking one or more assessments within their area of specialization.</w:t>
      </w:r>
    </w:p>
    <w:p w:rsidR="00A7370D" w:rsidRDefault="00A7370D" w:rsidP="00A7370D">
      <w:pPr>
        <w:pStyle w:val="ListParagraph"/>
        <w:numPr>
          <w:ilvl w:val="0"/>
          <w:numId w:val="1"/>
        </w:numPr>
        <w:rPr>
          <w:sz w:val="14"/>
        </w:rPr>
      </w:pPr>
      <w:r w:rsidRPr="00C00A80">
        <w:rPr>
          <w:sz w:val="14"/>
        </w:rPr>
        <w:t xml:space="preserve">Summary level “Number Taking Assessment” may differ from assessment level “Number </w:t>
      </w:r>
      <w:r w:rsidR="00C00A80" w:rsidRPr="00C00A80">
        <w:rPr>
          <w:sz w:val="14"/>
        </w:rPr>
        <w:t>Taking assessment</w:t>
      </w:r>
      <w:r w:rsidRPr="00C00A80">
        <w:rPr>
          <w:sz w:val="14"/>
        </w:rPr>
        <w:t>” because each student is counted once at the summary level but may be counted in multiple assessments at the assessment level</w:t>
      </w:r>
    </w:p>
    <w:p w:rsidR="00C00A80" w:rsidRDefault="00C00A80" w:rsidP="00C00A80">
      <w:pPr>
        <w:rPr>
          <w:sz w:val="14"/>
        </w:rPr>
      </w:pPr>
    </w:p>
    <w:p w:rsidR="00C00A80" w:rsidRDefault="00C00A80" w:rsidP="00C00A80">
      <w:pPr>
        <w:rPr>
          <w:sz w:val="14"/>
        </w:rPr>
      </w:pPr>
    </w:p>
    <w:p w:rsidR="00C00A80" w:rsidRPr="00C00A80" w:rsidRDefault="00C00A80" w:rsidP="00C00A80">
      <w:pPr>
        <w:rPr>
          <w:sz w:val="14"/>
        </w:rPr>
      </w:pPr>
    </w:p>
    <w:sectPr w:rsidR="00C00A80" w:rsidRPr="00C00A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370D" w:rsidRDefault="00A7370D" w:rsidP="00A7370D">
      <w:pPr>
        <w:spacing w:after="0" w:line="240" w:lineRule="auto"/>
      </w:pPr>
      <w:r>
        <w:separator/>
      </w:r>
    </w:p>
  </w:endnote>
  <w:endnote w:type="continuationSeparator" w:id="0">
    <w:p w:rsidR="00A7370D" w:rsidRDefault="00A7370D" w:rsidP="00A737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370D" w:rsidRDefault="00A7370D" w:rsidP="00A7370D">
      <w:pPr>
        <w:spacing w:after="0" w:line="240" w:lineRule="auto"/>
      </w:pPr>
      <w:r>
        <w:separator/>
      </w:r>
    </w:p>
  </w:footnote>
  <w:footnote w:type="continuationSeparator" w:id="0">
    <w:p w:rsidR="00A7370D" w:rsidRDefault="00A7370D" w:rsidP="00A737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B80007"/>
    <w:multiLevelType w:val="hybridMultilevel"/>
    <w:tmpl w:val="F4A291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70D"/>
    <w:rsid w:val="00451C6F"/>
    <w:rsid w:val="00696A7B"/>
    <w:rsid w:val="008C794A"/>
    <w:rsid w:val="00A7370D"/>
    <w:rsid w:val="00C00A80"/>
    <w:rsid w:val="00FB6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A4DC37"/>
  <w15:chartTrackingRefBased/>
  <w15:docId w15:val="{686EBF07-3964-44E7-A57F-5E7FF5446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73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A7370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A7370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7370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7370D"/>
    <w:rPr>
      <w:vertAlign w:val="superscript"/>
    </w:rPr>
  </w:style>
  <w:style w:type="paragraph" w:styleId="ListParagraph">
    <w:name w:val="List Paragraph"/>
    <w:basedOn w:val="Normal"/>
    <w:uiPriority w:val="34"/>
    <w:qFormat/>
    <w:rsid w:val="00A737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13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6B2EDE-749A-4085-90AD-A53E4CD32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Noor, Farhana</dc:creator>
  <cp:keywords/>
  <dc:description/>
  <cp:lastModifiedBy>Noor, Farhana</cp:lastModifiedBy>
  <cp:revision>2</cp:revision>
  <dcterms:created xsi:type="dcterms:W3CDTF">2023-07-27T15:26:00Z</dcterms:created>
  <dcterms:modified xsi:type="dcterms:W3CDTF">2023-07-27T15:26:00Z</dcterms:modified>
</cp:coreProperties>
</file>