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76412" w:rsidR="00584C11" w:rsidP="7D97D7FD" w:rsidRDefault="00584C11" w14:paraId="62703977" w14:textId="3AC979FF">
      <w:pPr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7D97D7FD" w:rsidR="00584C11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Comparison of Completer Perceptions by Program </w:t>
      </w:r>
      <w:r w:rsidRPr="7D97D7FD" w:rsidR="00A9239A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>Fall 2023</w:t>
      </w:r>
      <w:r w:rsidRPr="7D97D7FD" w:rsidR="2CE11550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 (Source: </w:t>
      </w:r>
      <w:hyperlink r:id="Rb110db9a1b364ef5">
        <w:r w:rsidRPr="7D97D7FD" w:rsidR="2CE11550">
          <w:rPr>
            <w:rStyle w:val="Hyperlink"/>
            <w:rFonts w:ascii="Calibri Light" w:hAnsi="Calibri Light" w:cs="Calibri Light" w:asciiTheme="majorAscii" w:hAnsiTheme="majorAscii" w:cstheme="majorAscii"/>
            <w:b w:val="1"/>
            <w:bCs w:val="1"/>
            <w:sz w:val="20"/>
            <w:szCs w:val="20"/>
          </w:rPr>
          <w:t>https://www.surveymonkey.com/r/LPVQTF2</w:t>
        </w:r>
      </w:hyperlink>
      <w:r w:rsidRPr="7D97D7FD" w:rsidR="2CE11550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) </w:t>
      </w:r>
    </w:p>
    <w:tbl>
      <w:tblPr>
        <w:tblW w:w="14558" w:type="dxa"/>
        <w:tblLook w:val="04A0" w:firstRow="1" w:lastRow="0" w:firstColumn="1" w:lastColumn="0" w:noHBand="0" w:noVBand="1"/>
      </w:tblPr>
      <w:tblGrid>
        <w:gridCol w:w="9233"/>
        <w:gridCol w:w="1076"/>
        <w:gridCol w:w="1076"/>
        <w:gridCol w:w="1076"/>
        <w:gridCol w:w="984"/>
        <w:gridCol w:w="1113"/>
      </w:tblGrid>
      <w:tr w:rsidRPr="00B76412" w:rsidR="00B76412" w:rsidTr="7D97D7FD" w14:paraId="1D817EF1" w14:textId="77777777">
        <w:trPr>
          <w:trHeight w:val="432"/>
        </w:trPr>
        <w:tc>
          <w:tcPr>
            <w:tcW w:w="9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B76412" w:rsidR="00B76412" w:rsidP="00B76412" w:rsidRDefault="00B76412" w14:paraId="6C633E5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After completing your NDMU program, how prepared were you to…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B76412" w:rsidR="00B76412" w:rsidP="00B76412" w:rsidRDefault="00B76412" w14:paraId="365B0AC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ElEd          n =1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B76412" w:rsidR="00B76412" w:rsidP="00B76412" w:rsidRDefault="00B76412" w14:paraId="5DB91F8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ElEd/ECE n=2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B76412" w:rsidR="00B76412" w:rsidP="00B76412" w:rsidRDefault="00B76412" w14:paraId="21FB507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PK-12 (Art) n=1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B76412" w:rsidR="00B76412" w:rsidP="00B76412" w:rsidRDefault="00B76412" w14:paraId="414AB79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SpEd         n = 1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B76412" w:rsidR="00B76412" w:rsidP="00B76412" w:rsidRDefault="00B76412" w14:paraId="6A71742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Total n=5:</w:t>
            </w:r>
          </w:p>
        </w:tc>
      </w:tr>
      <w:tr w:rsidRPr="00B76412" w:rsidR="00B76412" w:rsidTr="7D97D7FD" w14:paraId="747A70EC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0BEFB2A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Understand the diverse needs of students?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5A6697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C29EE0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F9D418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EE8DB9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63C5AF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3.25</w:t>
            </w:r>
          </w:p>
        </w:tc>
      </w:tr>
      <w:tr w:rsidRPr="00B76412" w:rsidR="00B76412" w:rsidTr="7D97D7FD" w14:paraId="41A6FFBD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184AFA9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Plan for the diverse needs of students?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F7CE34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528D66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AB596D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36982A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1C585B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3.25</w:t>
            </w:r>
          </w:p>
        </w:tc>
      </w:tr>
      <w:tr w:rsidRPr="00B76412" w:rsidR="00B76412" w:rsidTr="7D97D7FD" w14:paraId="168265B2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3EADDC1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Know the required content to teach?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EE11D7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D33760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A42EB2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4448C3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4C2F6C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3.50</w:t>
            </w:r>
          </w:p>
        </w:tc>
      </w:tr>
      <w:tr w:rsidRPr="00B76412" w:rsidR="00B76412" w:rsidTr="7D97D7FD" w14:paraId="238EF03B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23842DF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Effectively teach the required content?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0E511F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EEED60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B964F5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06FAE2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778E24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3.50</w:t>
            </w:r>
          </w:p>
        </w:tc>
      </w:tr>
      <w:tr w:rsidRPr="00B76412" w:rsidR="00B76412" w:rsidTr="7D97D7FD" w14:paraId="0C80F8D5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3DA2C0C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 xml:space="preserve">Create a respectful learning </w:t>
            </w:r>
            <w:proofErr w:type="gramStart"/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environment ?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7C9843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8E2964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7AC59F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A0444D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0D23D2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3.75</w:t>
            </w:r>
          </w:p>
        </w:tc>
      </w:tr>
      <w:tr w:rsidRPr="00B76412" w:rsidR="00B76412" w:rsidTr="7D97D7FD" w14:paraId="17BD03DC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4AD6B9E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Implement effect instruction to engage students?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AA79BE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B15C35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CF3BE3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DD432B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0A9A8C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3.50</w:t>
            </w:r>
          </w:p>
        </w:tc>
      </w:tr>
      <w:tr w:rsidRPr="00B76412" w:rsidR="00B76412" w:rsidTr="7D97D7FD" w14:paraId="726E9244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4949C46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Implement a range of assessments to measure progress?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E01313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ECAA80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F9C2D1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579C50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B87C3C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3.50</w:t>
            </w:r>
          </w:p>
        </w:tc>
      </w:tr>
      <w:tr w:rsidRPr="00B76412" w:rsidR="00B76412" w:rsidTr="7D97D7FD" w14:paraId="14D6DFAA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16EE26E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Demonstrate professionalism with stakeholders?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9572A7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005A43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379FBF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9C51E9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A3315C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3.75</w:t>
            </w:r>
          </w:p>
        </w:tc>
      </w:tr>
      <w:tr w:rsidRPr="00B76412" w:rsidR="00B76412" w:rsidTr="7D97D7FD" w14:paraId="191A9EDA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124F401F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Integrate technology to improve learning?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55BA40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7B168C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C0E77C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2152DE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18F14B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3.25</w:t>
            </w:r>
          </w:p>
        </w:tc>
      </w:tr>
      <w:tr w:rsidRPr="00B76412" w:rsidR="00B76412" w:rsidTr="7D97D7FD" w14:paraId="39F4F97F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2D4CDA1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To positively impact student growth?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857E72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F4C40A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B590D0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2558E8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749815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3.50</w:t>
            </w:r>
          </w:p>
        </w:tc>
      </w:tr>
      <w:tr w:rsidRPr="00B76412" w:rsidR="00B76412" w:rsidTr="7D97D7FD" w14:paraId="54264D7B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06144AC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Attend to the whole child?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384FB9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FB3FCF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6FD2D6F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9C4C5A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CDF78B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3.33</w:t>
            </w:r>
          </w:p>
        </w:tc>
      </w:tr>
      <w:tr w:rsidRPr="00B76412" w:rsidR="00B76412" w:rsidTr="7D97D7FD" w14:paraId="3B888415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5C775B9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To vary my instructional strategies?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A01D65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388DF0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4E139C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F727B8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5F8F98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3.25</w:t>
            </w:r>
          </w:p>
        </w:tc>
      </w:tr>
      <w:tr w:rsidRPr="00B76412" w:rsidR="00B76412" w:rsidTr="7D97D7FD" w14:paraId="5F76D0DC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7F3FF8A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Use higher order thinking skills?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4326B5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D4CD8A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81F3AC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11FD20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CC8D3E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3.25</w:t>
            </w:r>
          </w:p>
        </w:tc>
      </w:tr>
      <w:tr w:rsidRPr="00B76412" w:rsidR="00B76412" w:rsidTr="7D97D7FD" w14:paraId="16ECDE47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6C3776B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To employ motivational strategies?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6D3234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CFE178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AD8F4E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038F6F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46878B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3.50</w:t>
            </w:r>
          </w:p>
        </w:tc>
      </w:tr>
      <w:tr w:rsidRPr="00B76412" w:rsidR="00B76412" w:rsidTr="7D97D7FD" w14:paraId="69102974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76412" w:rsidR="00B76412" w:rsidP="00B76412" w:rsidRDefault="00B76412" w14:paraId="181807B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Employ classroom management strategies?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CEB9FC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65CD7D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2D1A22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F45C75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2FC6DE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3.50</w:t>
            </w:r>
          </w:p>
        </w:tc>
      </w:tr>
      <w:tr w:rsidRPr="00B76412" w:rsidR="00B76412" w:rsidTr="7D97D7FD" w14:paraId="10C8915F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C13236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 Display verbal and nonverbal communication?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5410AB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B44FD7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0BBFF1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735044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7F2984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3.25</w:t>
            </w:r>
          </w:p>
        </w:tc>
      </w:tr>
      <w:tr w:rsidRPr="00B76412" w:rsidR="00B76412" w:rsidTr="7D97D7FD" w14:paraId="0A71FA6F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97D981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Design standards-based Unit Planning?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2418FF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83DB5B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270773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F9AFF2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83B6A8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3.50</w:t>
            </w:r>
          </w:p>
        </w:tc>
      </w:tr>
      <w:tr w:rsidRPr="00B76412" w:rsidR="00B76412" w:rsidTr="7D97D7FD" w14:paraId="7D0BE480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1A13BC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Design standards-based Lesson Planning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180329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E2296A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FF9D0B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DC9E79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5C621C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3.25</w:t>
            </w:r>
          </w:p>
        </w:tc>
      </w:tr>
      <w:tr w:rsidRPr="00B76412" w:rsidR="00B76412" w:rsidTr="7D97D7FD" w14:paraId="4E21E771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C4A0E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Design formative assessments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022707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4409E9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E10737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829DAE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8BF4E0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3.25</w:t>
            </w:r>
          </w:p>
        </w:tc>
      </w:tr>
      <w:tr w:rsidRPr="00B76412" w:rsidR="00B76412" w:rsidTr="7D97D7FD" w14:paraId="4C177EE4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5B8C60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Design summative assessments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C91A43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A55386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262B01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F0B7F2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7192E7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3.00</w:t>
            </w:r>
          </w:p>
        </w:tc>
      </w:tr>
      <w:tr w:rsidRPr="00B76412" w:rsidR="00B76412" w:rsidTr="7D97D7FD" w14:paraId="3C4C5C00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C6BC28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Use multiple approaches to assessment to inform future instruction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D1181E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3B0D60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210A2D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343DE2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DAE8C6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3.25</w:t>
            </w:r>
          </w:p>
        </w:tc>
      </w:tr>
      <w:tr w:rsidRPr="00B76412" w:rsidR="00B76412" w:rsidTr="7D97D7FD" w14:paraId="2D91AC42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872420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Demonstrate ongoing self-reflection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25B816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B7F054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2F9967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C0DEC7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D360CB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3.25</w:t>
            </w:r>
          </w:p>
        </w:tc>
      </w:tr>
      <w:tr w:rsidRPr="00B76412" w:rsidR="00B76412" w:rsidTr="7D97D7FD" w14:paraId="3CFE4467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88A1E2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Engage in professional growth opportunities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5B4285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B7B9D5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04F09D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33A2A2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970872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3.25</w:t>
            </w:r>
          </w:p>
        </w:tc>
      </w:tr>
      <w:tr w:rsidRPr="00B76412" w:rsidR="00B76412" w:rsidTr="7D97D7FD" w14:paraId="3C34DDF0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192FDB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Develop positive teacher-parent connections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F1BDDD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B1B9B0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D17AAB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FFD37D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053717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3.25</w:t>
            </w:r>
          </w:p>
        </w:tc>
      </w:tr>
      <w:tr w:rsidRPr="00B76412" w:rsidR="00B76412" w:rsidTr="7D97D7FD" w14:paraId="030039DF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33315C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Collaborate with the school community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9D6779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3B6939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E495A2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F156B6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3C54BF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3.50</w:t>
            </w:r>
          </w:p>
        </w:tc>
      </w:tr>
      <w:tr w:rsidRPr="00B76412" w:rsidR="00B76412" w:rsidTr="7D97D7FD" w14:paraId="6496F698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AB8CC2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Demonstrate mutual respect with students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E7C80C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96470B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D45C97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94ECD0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F1C1D2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3.75</w:t>
            </w:r>
          </w:p>
        </w:tc>
      </w:tr>
      <w:tr w:rsidRPr="00B76412" w:rsidR="00B76412" w:rsidTr="7D97D7FD" w14:paraId="65A5EBC6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E7F237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 xml:space="preserve">Teach to the Maryland College and Career </w:t>
            </w:r>
            <w:proofErr w:type="gramStart"/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Readiness  Math</w:t>
            </w:r>
            <w:proofErr w:type="gramEnd"/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 xml:space="preserve"> Standards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E80B54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AB6E98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629317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55A704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9921E6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3.50</w:t>
            </w:r>
          </w:p>
        </w:tc>
      </w:tr>
      <w:tr w:rsidRPr="00B76412" w:rsidR="00B76412" w:rsidTr="7D97D7FD" w14:paraId="1327AE18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953034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 xml:space="preserve">Teach to the Maryland College and Career </w:t>
            </w:r>
            <w:proofErr w:type="gramStart"/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Readiness  Reading</w:t>
            </w:r>
            <w:proofErr w:type="gramEnd"/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 xml:space="preserve"> Standards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0B1169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4BCF60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0381DF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3E2BDB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C94CA7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3.50</w:t>
            </w:r>
          </w:p>
        </w:tc>
      </w:tr>
      <w:tr w:rsidRPr="00B76412" w:rsidR="00B76412" w:rsidTr="7D97D7FD" w14:paraId="1F0BCEE6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44E7C0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Employ the Danielson Framework for Teacher Effectiveness (used in most teacher evaluations in MD)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1F9D47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857C51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A3125F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A89D24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4543F4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3.50</w:t>
            </w:r>
          </w:p>
        </w:tc>
      </w:tr>
      <w:tr w:rsidRPr="00B76412" w:rsidR="00B76412" w:rsidTr="7D97D7FD" w14:paraId="30AD4943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30D141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Understand standardized assessments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7C780B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BA2546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D8C144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1F20DF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E0E2BA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3.00</w:t>
            </w:r>
          </w:p>
        </w:tc>
      </w:tr>
      <w:tr w:rsidRPr="00B76412" w:rsidR="00B76412" w:rsidTr="7D97D7FD" w14:paraId="1CC8A326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2E04D9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Develop your own Student Learning Objectives?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720E0AF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1FC7E03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1F205E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4CD88FC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2B0FEB7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</w:rPr>
              <w:t>3.25</w:t>
            </w:r>
          </w:p>
        </w:tc>
      </w:tr>
      <w:tr w:rsidRPr="00B76412" w:rsidR="00B76412" w:rsidTr="7D97D7FD" w14:paraId="4464F99D" w14:textId="77777777">
        <w:trPr>
          <w:trHeight w:val="270"/>
        </w:trPr>
        <w:tc>
          <w:tcPr>
            <w:tcW w:w="9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5827B2C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Total Average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601A10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78B809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0DD185D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3A08402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76412" w:rsidR="00B76412" w:rsidP="00B76412" w:rsidRDefault="00B76412" w14:paraId="6992EB9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76412">
              <w:rPr>
                <w:rFonts w:eastAsia="Times New Roman"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Pr="00B76412" w:rsidR="00B76412" w:rsidP="00584C11" w:rsidRDefault="00B76412" w14:paraId="7C087934" w14:textId="77777777">
      <w:pPr>
        <w:rPr>
          <w:rFonts w:asciiTheme="majorHAnsi" w:hAnsiTheme="majorHAnsi" w:cstheme="majorHAnsi"/>
          <w:b/>
          <w:sz w:val="20"/>
          <w:szCs w:val="20"/>
        </w:rPr>
      </w:pPr>
    </w:p>
    <w:p w:rsidR="54FB001D" w:rsidP="51BEA4AB" w:rsidRDefault="54FB001D" w14:paraId="5608EB43" w14:textId="19844612">
      <w:pPr>
        <w:pStyle w:val="Normal"/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</w:pPr>
      <w:bookmarkStart w:name="_GoBack" w:id="0"/>
      <w:bookmarkEnd w:id="0"/>
      <w:r w:rsidRPr="51BEA4AB" w:rsidR="54FB001D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Summary Analysis:</w:t>
      </w:r>
      <w:r w:rsidRPr="51BEA4AB" w:rsidR="5CABA7B2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 </w:t>
      </w:r>
      <w:r w:rsidRPr="51BEA4AB" w:rsidR="5CABA7B2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>In reviewing the disaggregated data by program completed for the 5 respondents to the Fall 2023 Completer survey, all responde</w:t>
      </w:r>
      <w:r w:rsidRPr="51BEA4AB" w:rsidR="6E375EEB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>nts felt, for the most part, cons</w:t>
      </w:r>
      <w:r w:rsidRPr="51BEA4AB" w:rsidR="653BC580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>istently prepared to have an impact on student learning in the classroom.</w:t>
      </w:r>
      <w:r w:rsidRPr="51BEA4AB" w:rsidR="653BC580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 Dually certified Elementary Education and Early Childhood Education completers reported feeling consistently well-prepared across all </w:t>
      </w:r>
      <w:r w:rsidRPr="51BEA4AB" w:rsidR="73DEB89B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>areas</w:t>
      </w:r>
      <w:r w:rsidRPr="51BEA4AB" w:rsidR="653BC580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>.</w:t>
      </w:r>
      <w:r w:rsidRPr="51BEA4AB" w:rsidR="645310B1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 Across all </w:t>
      </w:r>
      <w:r w:rsidRPr="51BEA4AB" w:rsidR="47C90D0E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programs, completers felt most confident in their ability to </w:t>
      </w:r>
      <w:r w:rsidRPr="51BEA4AB" w:rsidR="47C90D0E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>demonstrate</w:t>
      </w:r>
      <w:r w:rsidRPr="51BEA4AB" w:rsidR="47C90D0E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 professionalism with stakeholders, create a respectful learning </w:t>
      </w:r>
      <w:r w:rsidRPr="51BEA4AB" w:rsidR="47C90D0E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environment, and </w:t>
      </w:r>
      <w:r w:rsidRPr="51BEA4AB" w:rsidR="47C90D0E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>dem</w:t>
      </w:r>
      <w:r w:rsidRPr="51BEA4AB" w:rsidR="47C90D0E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>onstrate</w:t>
      </w:r>
      <w:r w:rsidRPr="51BEA4AB" w:rsidR="47C90D0E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 mutual respect with students. </w:t>
      </w:r>
      <w:r w:rsidRPr="51BEA4AB" w:rsidR="497F57D4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>C</w:t>
      </w:r>
      <w:r w:rsidRPr="51BEA4AB" w:rsidR="47C90D0E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>onversely,</w:t>
      </w:r>
      <w:r w:rsidRPr="51BEA4AB" w:rsidR="653BC580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 students felt least prepared to design summative assessments. </w:t>
      </w:r>
      <w:r w:rsidRPr="51BEA4AB" w:rsidR="0C8DBD95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The </w:t>
      </w:r>
      <w:r w:rsidRPr="51BEA4AB" w:rsidR="0C8DBD95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>respondent</w:t>
      </w:r>
      <w:r w:rsidRPr="51BEA4AB" w:rsidR="0C8DBD95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 who completed the art program felt less prepared across the areas as compared to their peers. It is important to note </w:t>
      </w:r>
      <w:r w:rsidRPr="51BEA4AB" w:rsidR="73F25CF7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that </w:t>
      </w:r>
      <w:r w:rsidRPr="51BEA4AB" w:rsidR="0C8DBD95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the n is low for all programs and </w:t>
      </w:r>
      <w:r w:rsidRPr="51BEA4AB" w:rsidR="0C8DBD95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>is</w:t>
      </w:r>
      <w:r w:rsidRPr="51BEA4AB" w:rsidR="565090A7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 therefore</w:t>
      </w:r>
      <w:r w:rsidRPr="51BEA4AB" w:rsidR="0C8DBD95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 not fully representative of all completers. </w:t>
      </w:r>
    </w:p>
    <w:p w:rsidR="05FBDC4B" w:rsidP="51BEA4AB" w:rsidRDefault="05FBDC4B" w14:paraId="07DE7DCE" w14:textId="5CDA2AD6">
      <w:pPr>
        <w:pStyle w:val="Normal"/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</w:pPr>
    </w:p>
    <w:p w:rsidR="54FB001D" w:rsidP="51BEA4AB" w:rsidRDefault="54FB001D" w14:paraId="39349A00" w14:textId="57338C2C">
      <w:pPr>
        <w:pStyle w:val="Normal"/>
        <w:rPr>
          <w:rFonts w:ascii="Calibri Light" w:hAnsi="Calibri Light" w:eastAsia="Calibri Light" w:cs="Calibri Light"/>
          <w:noProof w:val="0"/>
          <w:sz w:val="22"/>
          <w:szCs w:val="22"/>
          <w:lang w:val="en-US"/>
        </w:rPr>
      </w:pPr>
      <w:r w:rsidRPr="51BEA4AB" w:rsidR="54FB001D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>Actions Planned:</w:t>
      </w:r>
      <w:r w:rsidRPr="51BEA4AB" w:rsidR="0502CAAF">
        <w:rPr>
          <w:rFonts w:ascii="Calibri Light" w:hAnsi="Calibri Light" w:cs="Calibri Light" w:asciiTheme="majorAscii" w:hAnsiTheme="majorAscii" w:cstheme="majorAscii"/>
          <w:b w:val="1"/>
          <w:bCs w:val="1"/>
          <w:sz w:val="22"/>
          <w:szCs w:val="22"/>
        </w:rPr>
        <w:t xml:space="preserve"> </w:t>
      </w:r>
      <w:r w:rsidRPr="51BEA4AB" w:rsidR="0502CAAF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The survey yielded </w:t>
      </w:r>
      <w:r w:rsidRPr="51BEA4AB" w:rsidR="0502CAAF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>a low number</w:t>
      </w:r>
      <w:r w:rsidRPr="51BEA4AB" w:rsidR="0502CAAF">
        <w:rPr>
          <w:rFonts w:ascii="Calibri Light" w:hAnsi="Calibri Light" w:cs="Calibri Light" w:asciiTheme="majorAscii" w:hAnsiTheme="majorAscii" w:cstheme="majorAscii"/>
          <w:b w:val="0"/>
          <w:bCs w:val="0"/>
          <w:sz w:val="22"/>
          <w:szCs w:val="22"/>
        </w:rPr>
        <w:t xml:space="preserve"> of responses.</w:t>
      </w:r>
      <w:r w:rsidRPr="51BEA4AB" w:rsidR="0502CAA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2"/>
          <w:szCs w:val="22"/>
        </w:rPr>
        <w:t xml:space="preserve"> Distribution methods will be altered to yield higher responses for Spring 2024. R</w:t>
      </w:r>
      <w:r w:rsidRPr="51BEA4AB" w:rsidR="0502CAA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US"/>
        </w:rPr>
        <w:t xml:space="preserve">esults from the future data collections will be used to </w:t>
      </w:r>
      <w:r w:rsidRPr="51BEA4AB" w:rsidR="0502CAA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US"/>
        </w:rPr>
        <w:t>identify</w:t>
      </w:r>
      <w:r w:rsidRPr="51BEA4AB" w:rsidR="0502CAAF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US"/>
        </w:rPr>
        <w:t>, develop, and implement course and clinical based interventions to improve those areas where completers perceived they were less consistently prepared.</w:t>
      </w:r>
    </w:p>
    <w:p w:rsidR="62206E86" w:rsidRDefault="62206E86" w14:paraId="578C300D" w14:textId="51C58E36">
      <w:r>
        <w:br w:type="page"/>
      </w:r>
    </w:p>
    <w:p w:rsidR="7B905D68" w:rsidP="32FF07CA" w:rsidRDefault="7B905D68" w14:paraId="03B81EC6" w14:textId="3DC61EC8">
      <w:pPr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32FF07CA" w:rsidR="7B905D6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Feedback from Employers by Initial and Advanced Completers </w:t>
      </w:r>
      <w:r w:rsidRPr="32FF07CA" w:rsidR="008B708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for 23-24 Completers </w:t>
      </w:r>
    </w:p>
    <w:p w:rsidR="008B708E" w:rsidP="32FF07CA" w:rsidRDefault="008B708E" w14:paraId="6817F2B2" w14:textId="0323BD99">
      <w:pPr>
        <w:spacing w:before="0" w:beforeAutospacing="off" w:after="0" w:afterAutospacing="off"/>
        <w:jc w:val="center"/>
      </w:pPr>
      <w:r w:rsidRPr="32FF07CA" w:rsidR="008B708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Feedback from Employers by Initial and Advanced </w:t>
      </w:r>
      <w:r w:rsidRPr="32FF07CA" w:rsidR="008B708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Completers  (</w:t>
      </w:r>
      <w:r w:rsidRPr="32FF07CA" w:rsidR="008B708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n=</w:t>
      </w:r>
      <w:r w:rsidRPr="32FF07CA" w:rsidR="61F38EC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</w:t>
      </w:r>
      <w:r w:rsidRPr="32FF07CA" w:rsidR="008B708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7)</w:t>
      </w:r>
    </w:p>
    <w:p w:rsidR="008B708E" w:rsidP="32FF07CA" w:rsidRDefault="008B708E" w14:paraId="05F69C99" w14:textId="7C5CF247">
      <w:pPr>
        <w:spacing w:before="0" w:beforeAutospacing="off" w:after="0" w:afterAutospacing="off"/>
        <w:jc w:val="center"/>
      </w:pPr>
      <w:r w:rsidRPr="32FF07CA" w:rsidR="008B708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30"/>
        <w:gridCol w:w="1556"/>
        <w:gridCol w:w="1740"/>
      </w:tblGrid>
      <w:tr w:rsidR="32FF07CA" w:rsidTr="32FF07CA" w14:paraId="24925FD2">
        <w:trPr>
          <w:trHeight w:val="600"/>
        </w:trPr>
        <w:tc>
          <w:tcPr>
            <w:tcW w:w="6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2FF07CA" w:rsidP="32FF07CA" w:rsidRDefault="32FF07CA" w14:paraId="440525DB" w14:textId="6A69BF5B">
            <w:pPr>
              <w:spacing w:before="0" w:beforeAutospacing="off" w:after="0" w:afterAutospacing="off"/>
              <w:jc w:val="center"/>
            </w:pPr>
            <w:r w:rsidRPr="32FF07CA" w:rsidR="32FF07C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Item</w:t>
            </w:r>
          </w:p>
        </w:tc>
        <w:tc>
          <w:tcPr>
            <w:tcW w:w="1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2FF07CA" w:rsidP="32FF07CA" w:rsidRDefault="32FF07CA" w14:paraId="5E4C7B99" w14:textId="468D6D49">
            <w:pPr>
              <w:spacing w:before="0" w:beforeAutospacing="off" w:after="0" w:afterAutospacing="off"/>
              <w:jc w:val="center"/>
            </w:pPr>
            <w:r w:rsidRPr="32FF07CA" w:rsidR="32FF07C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Initial Programs</w:t>
            </w:r>
          </w:p>
        </w:tc>
        <w:tc>
          <w:tcPr>
            <w:tcW w:w="1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2FF07CA" w:rsidP="32FF07CA" w:rsidRDefault="32FF07CA" w14:paraId="5417A89E" w14:textId="08A1F6BE">
            <w:pPr>
              <w:spacing w:before="0" w:beforeAutospacing="off" w:after="0" w:afterAutospacing="off"/>
              <w:jc w:val="center"/>
            </w:pPr>
            <w:r w:rsidRPr="32FF07CA" w:rsidR="32FF07C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Advanced Programs</w:t>
            </w:r>
          </w:p>
        </w:tc>
      </w:tr>
      <w:tr w:rsidR="32FF07CA" w:rsidTr="32FF07CA" w14:paraId="24CD81F8">
        <w:trPr>
          <w:trHeight w:val="585"/>
        </w:trPr>
        <w:tc>
          <w:tcPr>
            <w:tcW w:w="6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2FF07CA" w:rsidP="32FF07CA" w:rsidRDefault="32FF07CA" w14:paraId="3D6FCA4A" w14:textId="293E5CE6">
            <w:pPr>
              <w:spacing w:before="0" w:beforeAutospacing="off" w:after="0" w:afterAutospacing="off"/>
            </w:pPr>
            <w:r w:rsidRPr="32FF07CA" w:rsidR="32FF07CA">
              <w:rPr>
                <w:rFonts w:ascii="Calibri" w:hAnsi="Calibri" w:eastAsia="Calibri" w:cs="Calibri"/>
                <w:color w:val="333333"/>
                <w:sz w:val="22"/>
                <w:szCs w:val="22"/>
              </w:rPr>
              <w:t>Q2. How prepared was the NDMU graduate to understand the diverse needs of students in the classroom? (InTASC 1, 8; CAEP 1, 4)</w:t>
            </w:r>
          </w:p>
        </w:tc>
        <w:tc>
          <w:tcPr>
            <w:tcW w:w="1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1C09F106" w:rsidP="32FF07CA" w:rsidRDefault="1C09F106" w14:paraId="57075764" w14:textId="745E7759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1C09F10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3.87</w:t>
            </w:r>
          </w:p>
        </w:tc>
        <w:tc>
          <w:tcPr>
            <w:tcW w:w="1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1C09F106" w:rsidP="32FF07CA" w:rsidRDefault="1C09F106" w14:paraId="7A391C9F" w14:textId="0A1D85A8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1C09F10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4.0</w:t>
            </w:r>
          </w:p>
        </w:tc>
      </w:tr>
      <w:tr w:rsidR="32FF07CA" w:rsidTr="32FF07CA" w14:paraId="1CE67F83">
        <w:trPr>
          <w:trHeight w:val="585"/>
        </w:trPr>
        <w:tc>
          <w:tcPr>
            <w:tcW w:w="6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2FF07CA" w:rsidP="32FF07CA" w:rsidRDefault="32FF07CA" w14:paraId="34462F84" w14:textId="1A3F101F">
            <w:pPr>
              <w:spacing w:before="0" w:beforeAutospacing="off" w:after="0" w:afterAutospacing="off"/>
            </w:pPr>
            <w:r w:rsidRPr="32FF07CA" w:rsidR="32FF07CA">
              <w:rPr>
                <w:rFonts w:ascii="Calibri" w:hAnsi="Calibri" w:eastAsia="Calibri" w:cs="Calibri"/>
                <w:color w:val="333333"/>
                <w:sz w:val="22"/>
                <w:szCs w:val="22"/>
              </w:rPr>
              <w:t>Q4. How prepared was the NDMU graduate in knowing the required content to teach? (InTASC 4; CAEP 1, 4)</w:t>
            </w:r>
          </w:p>
        </w:tc>
        <w:tc>
          <w:tcPr>
            <w:tcW w:w="1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429D224F" w:rsidP="32FF07CA" w:rsidRDefault="429D224F" w14:paraId="1681EF3C" w14:textId="35BCBF79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429D224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3.87</w:t>
            </w:r>
          </w:p>
        </w:tc>
        <w:tc>
          <w:tcPr>
            <w:tcW w:w="1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429D224F" w:rsidP="32FF07CA" w:rsidRDefault="429D224F" w14:paraId="15F2DBCC" w14:textId="7770F9F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429D224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4.0</w:t>
            </w:r>
          </w:p>
        </w:tc>
      </w:tr>
      <w:tr w:rsidR="32FF07CA" w:rsidTr="32FF07CA" w14:paraId="58D4347A">
        <w:trPr>
          <w:trHeight w:val="585"/>
        </w:trPr>
        <w:tc>
          <w:tcPr>
            <w:tcW w:w="6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2FF07CA" w:rsidP="32FF07CA" w:rsidRDefault="32FF07CA" w14:paraId="447F2DE9" w14:textId="4A67DDD7">
            <w:pPr>
              <w:spacing w:before="0" w:beforeAutospacing="off" w:after="0" w:afterAutospacing="off"/>
            </w:pPr>
            <w:r w:rsidRPr="32FF07CA" w:rsidR="32FF07CA">
              <w:rPr>
                <w:rFonts w:ascii="Calibri" w:hAnsi="Calibri" w:eastAsia="Calibri" w:cs="Calibri"/>
                <w:color w:val="333333"/>
                <w:sz w:val="22"/>
                <w:szCs w:val="22"/>
              </w:rPr>
              <w:t>Q5. How prepared was the NDMU graduate to teach the required content? (InTASC 5, 8; CAEP 1, 4)</w:t>
            </w:r>
          </w:p>
        </w:tc>
        <w:tc>
          <w:tcPr>
            <w:tcW w:w="1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0A3E3032" w:rsidP="32FF07CA" w:rsidRDefault="0A3E3032" w14:paraId="30BF68E5" w14:textId="6FE2D6D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0A3E303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4.0</w:t>
            </w:r>
          </w:p>
        </w:tc>
        <w:tc>
          <w:tcPr>
            <w:tcW w:w="1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0A3E3032" w:rsidP="32FF07CA" w:rsidRDefault="0A3E3032" w14:paraId="26EC8FE2" w14:textId="2C5CF60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0A3E303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4.0</w:t>
            </w:r>
          </w:p>
        </w:tc>
      </w:tr>
      <w:tr w:rsidR="32FF07CA" w:rsidTr="32FF07CA" w14:paraId="59491B3B">
        <w:trPr>
          <w:trHeight w:val="570"/>
        </w:trPr>
        <w:tc>
          <w:tcPr>
            <w:tcW w:w="6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2FF07CA" w:rsidP="32FF07CA" w:rsidRDefault="32FF07CA" w14:paraId="4B7C8DB5" w14:textId="18115AE0">
            <w:pPr>
              <w:spacing w:before="0" w:beforeAutospacing="off" w:after="0" w:afterAutospacing="off"/>
            </w:pPr>
            <w:r w:rsidRPr="32FF07CA" w:rsidR="32FF07CA">
              <w:rPr>
                <w:rFonts w:ascii="Calibri" w:hAnsi="Calibri" w:eastAsia="Calibri" w:cs="Calibri"/>
                <w:color w:val="333333"/>
                <w:sz w:val="22"/>
                <w:szCs w:val="22"/>
              </w:rPr>
              <w:t>Q6. How prepared was the NDMU graduate to create a respectful environment that supports learning for all students? (InTASC 3, 7; CAEP 1, 4)</w:t>
            </w:r>
          </w:p>
        </w:tc>
        <w:tc>
          <w:tcPr>
            <w:tcW w:w="1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41003BF3" w:rsidP="32FF07CA" w:rsidRDefault="41003BF3" w14:paraId="4C8D84BD" w14:textId="5A15C45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41003BF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4.0</w:t>
            </w:r>
          </w:p>
        </w:tc>
        <w:tc>
          <w:tcPr>
            <w:tcW w:w="1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41003BF3" w:rsidP="32FF07CA" w:rsidRDefault="41003BF3" w14:paraId="1E39A26A" w14:textId="3B4078F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41003BF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4.0</w:t>
            </w:r>
          </w:p>
        </w:tc>
      </w:tr>
      <w:tr w:rsidR="32FF07CA" w:rsidTr="32FF07CA" w14:paraId="6D41F4D9">
        <w:trPr>
          <w:trHeight w:val="585"/>
        </w:trPr>
        <w:tc>
          <w:tcPr>
            <w:tcW w:w="6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2FF07CA" w:rsidP="32FF07CA" w:rsidRDefault="32FF07CA" w14:paraId="63D7DC40" w14:textId="516A52F6">
            <w:pPr>
              <w:spacing w:before="0" w:beforeAutospacing="off" w:after="0" w:afterAutospacing="off"/>
            </w:pPr>
            <w:r w:rsidRPr="32FF07CA" w:rsidR="32FF07CA">
              <w:rPr>
                <w:rFonts w:ascii="Calibri" w:hAnsi="Calibri" w:eastAsia="Calibri" w:cs="Calibri"/>
                <w:color w:val="333333"/>
                <w:sz w:val="22"/>
                <w:szCs w:val="22"/>
              </w:rPr>
              <w:t>Q7. How prepared was the NDMU graduate to implement effective instruction that engages students in learning? (InTASC 1, 2; CAEP 1, 2, 4)</w:t>
            </w:r>
          </w:p>
        </w:tc>
        <w:tc>
          <w:tcPr>
            <w:tcW w:w="1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009184E" w:rsidP="32FF07CA" w:rsidRDefault="3009184E" w14:paraId="16B50EB4" w14:textId="4C24114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300918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3.93</w:t>
            </w:r>
          </w:p>
        </w:tc>
        <w:tc>
          <w:tcPr>
            <w:tcW w:w="1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009184E" w:rsidP="32FF07CA" w:rsidRDefault="3009184E" w14:paraId="05A7AE15" w14:textId="06498130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3009184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4.0</w:t>
            </w:r>
          </w:p>
        </w:tc>
      </w:tr>
      <w:tr w:rsidR="32FF07CA" w:rsidTr="32FF07CA" w14:paraId="4D6B5DF3">
        <w:trPr>
          <w:trHeight w:val="585"/>
        </w:trPr>
        <w:tc>
          <w:tcPr>
            <w:tcW w:w="6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2FF07CA" w:rsidP="32FF07CA" w:rsidRDefault="32FF07CA" w14:paraId="325E3D81" w14:textId="4C0C634F">
            <w:pPr>
              <w:spacing w:before="0" w:beforeAutospacing="off" w:after="0" w:afterAutospacing="off"/>
            </w:pPr>
            <w:r w:rsidRPr="32FF07CA" w:rsidR="32FF07CA">
              <w:rPr>
                <w:rFonts w:ascii="Calibri" w:hAnsi="Calibri" w:eastAsia="Calibri" w:cs="Calibri"/>
                <w:color w:val="333333"/>
                <w:sz w:val="22"/>
                <w:szCs w:val="22"/>
              </w:rPr>
              <w:t>Q8. How prepared was the NDMU graduate to implement a range of assessments to measure progress of learners? (InTASC 6, CAEP 1, 4)</w:t>
            </w:r>
          </w:p>
        </w:tc>
        <w:tc>
          <w:tcPr>
            <w:tcW w:w="1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49547A9" w:rsidP="32FF07CA" w:rsidRDefault="349547A9" w14:paraId="1A6C198F" w14:textId="6D3EF4F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349547A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3.86</w:t>
            </w:r>
          </w:p>
        </w:tc>
        <w:tc>
          <w:tcPr>
            <w:tcW w:w="1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49547A9" w:rsidP="32FF07CA" w:rsidRDefault="349547A9" w14:paraId="1675CACB" w14:textId="24CCB247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349547A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4.0</w:t>
            </w:r>
          </w:p>
        </w:tc>
      </w:tr>
      <w:tr w:rsidR="32FF07CA" w:rsidTr="32FF07CA" w14:paraId="616DCA82">
        <w:trPr>
          <w:trHeight w:val="585"/>
        </w:trPr>
        <w:tc>
          <w:tcPr>
            <w:tcW w:w="6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2FF07CA" w:rsidP="32FF07CA" w:rsidRDefault="32FF07CA" w14:paraId="567643CB" w14:textId="3A9EE17E">
            <w:pPr>
              <w:spacing w:before="0" w:beforeAutospacing="off" w:after="0" w:afterAutospacing="off"/>
            </w:pPr>
            <w:r w:rsidRPr="32FF07CA" w:rsidR="32FF07CA">
              <w:rPr>
                <w:rFonts w:ascii="Calibri" w:hAnsi="Calibri" w:eastAsia="Calibri" w:cs="Calibri"/>
                <w:color w:val="333333"/>
                <w:sz w:val="22"/>
                <w:szCs w:val="22"/>
              </w:rPr>
              <w:t>Q9. How prepared was the NDMU graduate to demonstrate professionalism with stakeholders? (InTASC 10, CAEP 2, 3)</w:t>
            </w:r>
          </w:p>
        </w:tc>
        <w:tc>
          <w:tcPr>
            <w:tcW w:w="1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51E8858B" w:rsidP="32FF07CA" w:rsidRDefault="51E8858B" w14:paraId="4C9E333F" w14:textId="57ADF2C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51E8858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3.93</w:t>
            </w:r>
          </w:p>
        </w:tc>
        <w:tc>
          <w:tcPr>
            <w:tcW w:w="1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51E8858B" w:rsidP="32FF07CA" w:rsidRDefault="51E8858B" w14:paraId="2AA364CF" w14:textId="1AAF0D0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51E8858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4.0</w:t>
            </w:r>
          </w:p>
        </w:tc>
      </w:tr>
      <w:tr w:rsidR="32FF07CA" w:rsidTr="32FF07CA" w14:paraId="0B63394F">
        <w:trPr>
          <w:trHeight w:val="585"/>
        </w:trPr>
        <w:tc>
          <w:tcPr>
            <w:tcW w:w="6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2FF07CA" w:rsidP="32FF07CA" w:rsidRDefault="32FF07CA" w14:paraId="226945F4" w14:textId="1E26F3BC">
            <w:pPr>
              <w:spacing w:before="0" w:beforeAutospacing="off" w:after="0" w:afterAutospacing="off"/>
            </w:pPr>
            <w:r w:rsidRPr="32FF07CA" w:rsidR="32FF07CA">
              <w:rPr>
                <w:rFonts w:ascii="Calibri" w:hAnsi="Calibri" w:eastAsia="Calibri" w:cs="Calibri"/>
                <w:color w:val="333333"/>
                <w:sz w:val="22"/>
                <w:szCs w:val="22"/>
              </w:rPr>
              <w:t>Q10. How prepared was the NDMU graduate to use technology in ways that improve learning?</w:t>
            </w:r>
          </w:p>
        </w:tc>
        <w:tc>
          <w:tcPr>
            <w:tcW w:w="1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5D34538E" w:rsidP="32FF07CA" w:rsidRDefault="5D34538E" w14:paraId="7F7E44D5" w14:textId="382A70B1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5D34538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4.0</w:t>
            </w:r>
          </w:p>
        </w:tc>
        <w:tc>
          <w:tcPr>
            <w:tcW w:w="1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5D34538E" w:rsidP="32FF07CA" w:rsidRDefault="5D34538E" w14:paraId="737D0897" w14:textId="3AC02B1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5D34538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4.0</w:t>
            </w:r>
          </w:p>
        </w:tc>
      </w:tr>
      <w:tr w:rsidR="32FF07CA" w:rsidTr="32FF07CA" w14:paraId="60ED7816">
        <w:trPr>
          <w:trHeight w:val="585"/>
        </w:trPr>
        <w:tc>
          <w:tcPr>
            <w:tcW w:w="6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32FF07CA" w:rsidP="32FF07CA" w:rsidRDefault="32FF07CA" w14:paraId="747065ED" w14:textId="33F75378">
            <w:pPr>
              <w:spacing w:before="0" w:beforeAutospacing="off" w:after="0" w:afterAutospacing="off"/>
            </w:pPr>
            <w:r w:rsidRPr="32FF07CA" w:rsidR="32FF07CA">
              <w:rPr>
                <w:rFonts w:ascii="Calibri" w:hAnsi="Calibri" w:eastAsia="Calibri" w:cs="Calibri"/>
                <w:color w:val="333333"/>
                <w:sz w:val="22"/>
                <w:szCs w:val="22"/>
              </w:rPr>
              <w:t>Q11. How prepared was the NDMU graduate to positively impact student growth? (InTASC 7; CAEP 1, 2, 4)</w:t>
            </w:r>
          </w:p>
        </w:tc>
        <w:tc>
          <w:tcPr>
            <w:tcW w:w="1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5C31BF5C" w:rsidP="32FF07CA" w:rsidRDefault="5C31BF5C" w14:paraId="68560B83" w14:textId="3B967E2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5C31BF5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3.93</w:t>
            </w:r>
          </w:p>
        </w:tc>
        <w:tc>
          <w:tcPr>
            <w:tcW w:w="1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5C31BF5C" w:rsidP="32FF07CA" w:rsidRDefault="5C31BF5C" w14:paraId="3D8087F6" w14:textId="31926DD0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5C31BF5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4.0</w:t>
            </w:r>
          </w:p>
        </w:tc>
      </w:tr>
      <w:tr w:rsidR="32FF07CA" w:rsidTr="32FF07CA" w14:paraId="6E364463">
        <w:trPr>
          <w:trHeight w:val="585"/>
        </w:trPr>
        <w:tc>
          <w:tcPr>
            <w:tcW w:w="69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427B955A" w:rsidP="32FF07CA" w:rsidRDefault="427B955A" w14:paraId="18F0A52E" w14:textId="1A76FD2A">
            <w:pPr>
              <w:pStyle w:val="Normal"/>
              <w:rPr>
                <w:rFonts w:ascii="Calibri" w:hAnsi="Calibri" w:eastAsia="Calibri" w:cs="Calibri"/>
                <w:b w:val="1"/>
                <w:bCs w:val="1"/>
                <w:color w:val="333333"/>
                <w:sz w:val="22"/>
                <w:szCs w:val="22"/>
              </w:rPr>
            </w:pPr>
            <w:r w:rsidRPr="32FF07CA" w:rsidR="427B955A">
              <w:rPr>
                <w:rFonts w:ascii="Calibri" w:hAnsi="Calibri" w:eastAsia="Calibri" w:cs="Calibri"/>
                <w:b w:val="1"/>
                <w:bCs w:val="1"/>
                <w:color w:val="333333"/>
                <w:sz w:val="22"/>
                <w:szCs w:val="22"/>
              </w:rPr>
              <w:t>Total:</w:t>
            </w:r>
          </w:p>
        </w:tc>
        <w:tc>
          <w:tcPr>
            <w:tcW w:w="15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682572EC" w:rsidP="32FF07CA" w:rsidRDefault="682572EC" w14:paraId="2B3A459A" w14:textId="6E0CAB52">
            <w:pPr>
              <w:pStyle w:val="Normal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682572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3.93</w:t>
            </w:r>
          </w:p>
        </w:tc>
        <w:tc>
          <w:tcPr>
            <w:tcW w:w="17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682572EC" w:rsidP="32FF07CA" w:rsidRDefault="682572EC" w14:paraId="5F0F129B" w14:textId="4262143B">
            <w:pPr>
              <w:pStyle w:val="Normal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FF07CA" w:rsidR="682572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4.0</w:t>
            </w:r>
          </w:p>
        </w:tc>
      </w:tr>
    </w:tbl>
    <w:p w:rsidR="32FF07CA" w:rsidP="32FF07CA" w:rsidRDefault="32FF07CA" w14:paraId="389768CC" w14:textId="6AF0DB4A">
      <w:pPr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682572EC" w:rsidP="51BEA4AB" w:rsidRDefault="682572EC" w14:paraId="2F6F7E2E" w14:textId="6B23E94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</w:pP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>The Fall 2023 and Spring 2024 administration of the Employer Feedback survey yielded 17 responses, a significant increase from the 7 responses yielded in the last cycle (Fall 202</w:t>
      </w:r>
      <w:r w:rsidRPr="51BEA4AB" w:rsidR="5253199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>1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 xml:space="preserve">). Disaggregated only by 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>initial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 xml:space="preserve"> and advanced designation, the data show that for both program levels, employers are consistently highly satisfied with NDMU’s educator preparation programs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 xml:space="preserve">.  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>On a scale of 4 ranging from not at all prepared (1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>)  to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 xml:space="preserve"> consistently prepared (4), the overall mean score for the 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>initial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 xml:space="preserve"> programs was 3.9</w:t>
      </w:r>
      <w:r w:rsidRPr="51BEA4AB" w:rsidR="589FE78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3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and for the advanced programs it was </w:t>
      </w:r>
      <w:r w:rsidRPr="51BEA4AB" w:rsidR="69B9BAA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4.0</w:t>
      </w:r>
      <w:r w:rsidRPr="51BEA4AB" w:rsidR="549D470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.</w:t>
      </w:r>
      <w:r w:rsidRPr="51BEA4AB" w:rsidR="549D470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0.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 Employers of 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initial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program completers found that completers were most consistently prepared to </w:t>
      </w:r>
      <w:r w:rsidRPr="51BEA4AB" w:rsidR="702E352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teach the required content,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to create a respectful environment, and to use technology to improve learning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.  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Areas 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not quite as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strong in preparation were found to 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be</w:t>
      </w:r>
      <w:r w:rsidRPr="51BEA4AB" w:rsidR="789712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: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knowing </w:t>
      </w:r>
      <w:r w:rsidRPr="51BEA4AB" w:rsidR="542DD53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the 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required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content, </w:t>
      </w:r>
      <w:r w:rsidRPr="51BEA4AB" w:rsidR="471D8CAF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2"/>
          <w:szCs w:val="22"/>
        </w:rPr>
        <w:t>understand</w:t>
      </w:r>
      <w:r w:rsidRPr="51BEA4AB" w:rsidR="24EB7A38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2"/>
          <w:szCs w:val="22"/>
        </w:rPr>
        <w:t>ing</w:t>
      </w:r>
      <w:r w:rsidRPr="51BEA4AB" w:rsidR="471D8CAF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2"/>
          <w:szCs w:val="22"/>
        </w:rPr>
        <w:t xml:space="preserve"> the diverse </w:t>
      </w:r>
      <w:r w:rsidRPr="51BEA4AB" w:rsidR="471D8CAF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2"/>
          <w:szCs w:val="22"/>
        </w:rPr>
        <w:t xml:space="preserve">needs of students in the classroom, </w:t>
      </w:r>
      <w:r w:rsidRPr="51BEA4AB" w:rsidR="74F425C5">
        <w:rPr>
          <w:rFonts w:ascii="Calibri Light" w:hAnsi="Calibri Light" w:eastAsia="Calibri Light" w:cs="Calibri Light" w:asciiTheme="majorAscii" w:hAnsiTheme="majorAscii" w:eastAsiaTheme="majorAscii" w:cstheme="majorAscii"/>
          <w:color w:val="auto"/>
          <w:sz w:val="22"/>
          <w:szCs w:val="22"/>
        </w:rPr>
        <w:t xml:space="preserve">and </w:t>
      </w:r>
      <w:bookmarkStart w:name="_Int_PIo18gjF" w:id="2002777790"/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implementing</w:t>
      </w:r>
      <w:bookmarkEnd w:id="2002777790"/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a range of assessments</w:t>
      </w:r>
      <w:r w:rsidRPr="51BEA4AB" w:rsidR="69EA64C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. </w:t>
      </w:r>
      <w:r w:rsidRPr="51BEA4AB" w:rsidR="682572E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Advanced program feedback </w:t>
      </w:r>
      <w:r w:rsidRPr="51BEA4AB" w:rsidR="46C8469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was unanimously positive, with a consistent sco</w:t>
      </w:r>
      <w:r w:rsidRPr="51BEA4AB" w:rsidR="7BD6053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re of 4.0 (consistently prepared) for all evaluation areas. </w:t>
      </w:r>
      <w:r w:rsidRPr="51BEA4AB" w:rsidR="3C7B23B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In comparison to the Fall 2021 survey results, an increase was </w:t>
      </w:r>
      <w:r w:rsidRPr="51BEA4AB" w:rsidR="3BE50A4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>observed</w:t>
      </w:r>
      <w:r w:rsidRPr="51BEA4AB" w:rsidR="3BE50A4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auto"/>
          <w:sz w:val="22"/>
          <w:szCs w:val="22"/>
          <w:lang w:val="en-US"/>
        </w:rPr>
        <w:t xml:space="preserve"> across both types of programs. Initial programs increased from 3.9 to 3.93. Advanced programs increased from 3.9 to 4.0. </w:t>
      </w:r>
    </w:p>
    <w:p w:rsidR="32FF07CA" w:rsidP="51BEA4AB" w:rsidRDefault="32FF07CA" w14:paraId="5950EFE5" w14:textId="224A1700">
      <w:p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</w:pPr>
    </w:p>
    <w:p w:rsidR="025BD829" w:rsidP="51BEA4AB" w:rsidRDefault="025BD829" w14:paraId="62C253D5" w14:textId="0657A8A8">
      <w:pPr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</w:pPr>
      <w:r w:rsidRPr="51BEA4AB" w:rsidR="025BD82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en-US"/>
        </w:rPr>
        <w:t xml:space="preserve">Actions Planned: </w:t>
      </w:r>
      <w:r w:rsidRPr="51BEA4AB" w:rsidR="025BD8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>Additional</w:t>
      </w:r>
      <w:r w:rsidRPr="51BEA4AB" w:rsidR="025BD8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 xml:space="preserve"> survey data will be collected </w:t>
      </w:r>
      <w:r w:rsidRPr="51BEA4AB" w:rsidR="4174734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 xml:space="preserve">in Fall 2024 and Spring 2025 to assess </w:t>
      </w:r>
      <w:r w:rsidRPr="51BEA4AB" w:rsidR="025BD8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>completer effectiveness</w:t>
      </w:r>
      <w:r w:rsidRPr="51BEA4AB" w:rsidR="022F577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 xml:space="preserve"> by employers</w:t>
      </w:r>
      <w:r w:rsidRPr="51BEA4AB" w:rsidR="025BD8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 xml:space="preserve">. Results from the next two data collections will </w:t>
      </w:r>
      <w:r w:rsidRPr="51BEA4AB" w:rsidR="025BD8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>b</w:t>
      </w:r>
      <w:r w:rsidRPr="51BEA4AB" w:rsidR="7D574BB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 xml:space="preserve">e </w:t>
      </w:r>
      <w:r w:rsidRPr="51BEA4AB" w:rsidR="025BD8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>used</w:t>
      </w:r>
      <w:r w:rsidRPr="51BEA4AB" w:rsidR="025BD8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 xml:space="preserve"> to </w:t>
      </w:r>
      <w:r w:rsidRPr="51BEA4AB" w:rsidR="025BD8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>identify</w:t>
      </w:r>
      <w:r w:rsidRPr="51BEA4AB" w:rsidR="025BD82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 xml:space="preserve">, develop </w:t>
      </w:r>
      <w:r w:rsidRPr="51BEA4AB" w:rsidR="5C28470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2"/>
          <w:szCs w:val="22"/>
          <w:lang w:val="en-US"/>
        </w:rPr>
        <w:t>implement course and clinical based interventions to improve those areas where employers perceived that completers were less consistently prepared.</w:t>
      </w:r>
    </w:p>
    <w:sectPr w:rsidRPr="00B76412" w:rsidR="00584C11" w:rsidSect="00584C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Io18gjF" int2:invalidationBookmarkName="" int2:hashCode="BH8d6Fm/ZBMhpc" int2:id="0P05VRw0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11"/>
    <w:rsid w:val="0002691E"/>
    <w:rsid w:val="001B385B"/>
    <w:rsid w:val="00584C11"/>
    <w:rsid w:val="008B708E"/>
    <w:rsid w:val="00A9239A"/>
    <w:rsid w:val="00B76412"/>
    <w:rsid w:val="022F5770"/>
    <w:rsid w:val="025BD829"/>
    <w:rsid w:val="0502CAAF"/>
    <w:rsid w:val="05FBDC4B"/>
    <w:rsid w:val="080E3F1E"/>
    <w:rsid w:val="0898E935"/>
    <w:rsid w:val="0A3E3032"/>
    <w:rsid w:val="0C2AC3E8"/>
    <w:rsid w:val="0C8DBD95"/>
    <w:rsid w:val="0F5334C0"/>
    <w:rsid w:val="0F5334C0"/>
    <w:rsid w:val="138312F5"/>
    <w:rsid w:val="17BFF7FF"/>
    <w:rsid w:val="1C09F106"/>
    <w:rsid w:val="1C0F7580"/>
    <w:rsid w:val="1E642A71"/>
    <w:rsid w:val="23F3525E"/>
    <w:rsid w:val="24EB7A38"/>
    <w:rsid w:val="29742472"/>
    <w:rsid w:val="29742472"/>
    <w:rsid w:val="2C8D703E"/>
    <w:rsid w:val="2CC57B3B"/>
    <w:rsid w:val="2CE11550"/>
    <w:rsid w:val="2E2F4FA4"/>
    <w:rsid w:val="3009184E"/>
    <w:rsid w:val="32FF07CA"/>
    <w:rsid w:val="33292822"/>
    <w:rsid w:val="349547A9"/>
    <w:rsid w:val="3BE50A46"/>
    <w:rsid w:val="3C7B23B2"/>
    <w:rsid w:val="403F79A5"/>
    <w:rsid w:val="403F79A5"/>
    <w:rsid w:val="41003BF3"/>
    <w:rsid w:val="41747346"/>
    <w:rsid w:val="42605456"/>
    <w:rsid w:val="427B955A"/>
    <w:rsid w:val="429D224F"/>
    <w:rsid w:val="440F9573"/>
    <w:rsid w:val="46C8469D"/>
    <w:rsid w:val="46FE6AF1"/>
    <w:rsid w:val="471D8CAF"/>
    <w:rsid w:val="472EC1F3"/>
    <w:rsid w:val="47C90D0E"/>
    <w:rsid w:val="497F57D4"/>
    <w:rsid w:val="4EC71E62"/>
    <w:rsid w:val="4FF31148"/>
    <w:rsid w:val="514E9C8D"/>
    <w:rsid w:val="51BEA4AB"/>
    <w:rsid w:val="51E8858B"/>
    <w:rsid w:val="52531998"/>
    <w:rsid w:val="542DD535"/>
    <w:rsid w:val="549D470D"/>
    <w:rsid w:val="54FB001D"/>
    <w:rsid w:val="565090A7"/>
    <w:rsid w:val="56CDB1C4"/>
    <w:rsid w:val="57A276B0"/>
    <w:rsid w:val="589FE788"/>
    <w:rsid w:val="58B47EB5"/>
    <w:rsid w:val="5A0EB3A6"/>
    <w:rsid w:val="5A45D3B6"/>
    <w:rsid w:val="5BC12DF7"/>
    <w:rsid w:val="5C284705"/>
    <w:rsid w:val="5C31BF5C"/>
    <w:rsid w:val="5CABA7B2"/>
    <w:rsid w:val="5D34538E"/>
    <w:rsid w:val="60B92C50"/>
    <w:rsid w:val="60EE019B"/>
    <w:rsid w:val="61DD9977"/>
    <w:rsid w:val="61DDD515"/>
    <w:rsid w:val="61F38EC6"/>
    <w:rsid w:val="62206E86"/>
    <w:rsid w:val="645310B1"/>
    <w:rsid w:val="653BC580"/>
    <w:rsid w:val="66CD757D"/>
    <w:rsid w:val="66CD757D"/>
    <w:rsid w:val="6712DE1B"/>
    <w:rsid w:val="6712DE1B"/>
    <w:rsid w:val="682572EC"/>
    <w:rsid w:val="69A82FB5"/>
    <w:rsid w:val="69B9BAA3"/>
    <w:rsid w:val="69EA64CA"/>
    <w:rsid w:val="6AB25909"/>
    <w:rsid w:val="6E375EEB"/>
    <w:rsid w:val="6E496FCB"/>
    <w:rsid w:val="6F0F8D59"/>
    <w:rsid w:val="702E3525"/>
    <w:rsid w:val="71412783"/>
    <w:rsid w:val="73DEB89B"/>
    <w:rsid w:val="73F25CF7"/>
    <w:rsid w:val="74F425C5"/>
    <w:rsid w:val="75A2896E"/>
    <w:rsid w:val="76A4D1D9"/>
    <w:rsid w:val="783083CD"/>
    <w:rsid w:val="78971229"/>
    <w:rsid w:val="7B905D68"/>
    <w:rsid w:val="7BD60533"/>
    <w:rsid w:val="7D3671E9"/>
    <w:rsid w:val="7D574BBE"/>
    <w:rsid w:val="7D97D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1EFE9"/>
  <w15:chartTrackingRefBased/>
  <w15:docId w15:val="{F28D0B0D-1052-4A9F-8574-6DBAC8A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7D97D7FD"/>
    <w:rPr>
      <w:color w:val="0563C1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surveymonkey.com/r/LPVQTF2" TargetMode="External" Id="Rb110db9a1b364ef5" /><Relationship Type="http://schemas.microsoft.com/office/2020/10/relationships/intelligence" Target="intelligence2.xml" Id="Ra23ef55ea50f42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2FB69E8CBE640BBCA2E53E8D7017D" ma:contentTypeVersion="4" ma:contentTypeDescription="Create a new document." ma:contentTypeScope="" ma:versionID="21100a6922a8038ca5146e661f708e92">
  <xsd:schema xmlns:xsd="http://www.w3.org/2001/XMLSchema" xmlns:xs="http://www.w3.org/2001/XMLSchema" xmlns:p="http://schemas.microsoft.com/office/2006/metadata/properties" xmlns:ns2="82f25350-a311-406f-b4d3-9c545f65d003" targetNamespace="http://schemas.microsoft.com/office/2006/metadata/properties" ma:root="true" ma:fieldsID="b5211fbc3ea73aad9fedf63f1cceb231" ns2:_="">
    <xsd:import namespace="82f25350-a311-406f-b4d3-9c545f65d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5350-a311-406f-b4d3-9c545f65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075D3-A021-4595-AD4A-AAEE9F29D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E4146-4619-46F7-8C2B-47230977B571}"/>
</file>

<file path=customXml/itemProps3.xml><?xml version="1.0" encoding="utf-8"?>
<ds:datastoreItem xmlns:ds="http://schemas.openxmlformats.org/officeDocument/2006/customXml" ds:itemID="{B9A26858-7257-4771-AFCF-D67F810C53A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38f54d4-f28a-4c68-8b9b-25084c4698f6"/>
    <ds:schemaRef ds:uri="http://schemas.microsoft.com/office/infopath/2007/PartnerControls"/>
    <ds:schemaRef ds:uri="http://schemas.openxmlformats.org/package/2006/metadata/core-properties"/>
    <ds:schemaRef ds:uri="96e4079f-d23c-4efb-8b49-040d5ec7c947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Molly</dc:creator>
  <cp:keywords/>
  <dc:description/>
  <cp:lastModifiedBy>King, Molly</cp:lastModifiedBy>
  <cp:revision>9</cp:revision>
  <dcterms:created xsi:type="dcterms:W3CDTF">2025-04-14T19:19:00Z</dcterms:created>
  <dcterms:modified xsi:type="dcterms:W3CDTF">2025-04-28T20:03:43Z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a13c69a5-fdd6-4221-b446-777331522b64</vt:lpwstr>
  </property>
  <property fmtid="{D5CDD505-2E9C-101B-9397-08002B2CF9AE}" pid="3" name="ContentTypeId">
    <vt:lpwstr>0x0101009102FB69E8CBE640BBCA2E53E8D7017D</vt:lpwstr>
  </property>
</Properties>
</file>